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tblGrid>
      <w:tr w:rsidR="00893598" w:rsidRPr="00782933" w14:paraId="7605D2F1" w14:textId="77777777" w:rsidTr="00782933">
        <w:tc>
          <w:tcPr>
            <w:tcW w:w="3330" w:type="dxa"/>
          </w:tcPr>
          <w:p w14:paraId="7605D2F0" w14:textId="03B46A62" w:rsidR="00893598" w:rsidRPr="00A81B99" w:rsidRDefault="00893598" w:rsidP="00893598">
            <w:pPr>
              <w:spacing w:before="0" w:after="0"/>
              <w:jc w:val="center"/>
              <w:rPr>
                <w:b/>
              </w:rPr>
            </w:pPr>
            <w:bookmarkStart w:id="0" w:name="_GoBack"/>
            <w:bookmarkEnd w:id="0"/>
            <w:r w:rsidRPr="00A81B99">
              <w:rPr>
                <w:b/>
              </w:rPr>
              <w:t>WS 15</w:t>
            </w:r>
            <w:r w:rsidR="00D22C47">
              <w:rPr>
                <w:b/>
              </w:rPr>
              <w:t>-01</w:t>
            </w:r>
          </w:p>
        </w:tc>
      </w:tr>
      <w:tr w:rsidR="00893598" w:rsidRPr="00782933" w14:paraId="7605D2F3" w14:textId="77777777" w:rsidTr="00782933">
        <w:tc>
          <w:tcPr>
            <w:tcW w:w="3330" w:type="dxa"/>
          </w:tcPr>
          <w:p w14:paraId="7605D2F2" w14:textId="77777777" w:rsidR="00893598" w:rsidRPr="00A81B99" w:rsidRDefault="00893598" w:rsidP="00893598">
            <w:pPr>
              <w:spacing w:before="0" w:after="0"/>
              <w:jc w:val="center"/>
              <w:rPr>
                <w:b/>
              </w:rPr>
            </w:pPr>
            <w:r w:rsidRPr="00A81B99">
              <w:t>June 22, 2015</w:t>
            </w:r>
          </w:p>
        </w:tc>
      </w:tr>
      <w:tr w:rsidR="00893598" w:rsidRPr="00782933" w14:paraId="7605D2F5" w14:textId="77777777" w:rsidTr="00782933">
        <w:tc>
          <w:tcPr>
            <w:tcW w:w="3330" w:type="dxa"/>
          </w:tcPr>
          <w:p w14:paraId="7605D2F4" w14:textId="77777777" w:rsidR="00893598" w:rsidRPr="00A81B99" w:rsidRDefault="00893598" w:rsidP="00893598">
            <w:pPr>
              <w:spacing w:before="0" w:after="0"/>
              <w:jc w:val="center"/>
              <w:rPr>
                <w:b/>
              </w:rPr>
            </w:pPr>
            <w:r w:rsidRPr="00A81B99">
              <w:rPr>
                <w:b/>
              </w:rPr>
              <w:t>Basic/Expanded Services</w:t>
            </w:r>
          </w:p>
        </w:tc>
      </w:tr>
      <w:tr w:rsidR="00893598" w:rsidRPr="00782933" w14:paraId="7605D2F7" w14:textId="77777777" w:rsidTr="00782933">
        <w:tc>
          <w:tcPr>
            <w:tcW w:w="3330" w:type="dxa"/>
          </w:tcPr>
          <w:p w14:paraId="7605D2F6" w14:textId="77777777" w:rsidR="00893598" w:rsidRPr="00A81B99" w:rsidRDefault="00893598" w:rsidP="00893598">
            <w:pPr>
              <w:spacing w:before="0" w:after="0"/>
              <w:jc w:val="center"/>
              <w:rPr>
                <w:b/>
              </w:rPr>
            </w:pPr>
            <w:r w:rsidRPr="00A81B99">
              <w:rPr>
                <w:b/>
              </w:rPr>
              <w:t xml:space="preserve">Expires: </w:t>
            </w:r>
            <w:r w:rsidRPr="00A81B99">
              <w:t xml:space="preserve"> Continuing</w:t>
            </w:r>
          </w:p>
        </w:tc>
      </w:tr>
    </w:tbl>
    <w:p w14:paraId="7605D2F8" w14:textId="77777777" w:rsidR="00893598" w:rsidRPr="00782933" w:rsidRDefault="00893598" w:rsidP="00893598">
      <w:pPr>
        <w:spacing w:before="0" w:after="0"/>
        <w:rPr>
          <w:rFonts w:ascii="Arial" w:hAnsi="Arial" w:cs="Arial"/>
        </w:rPr>
      </w:pPr>
    </w:p>
    <w:p w14:paraId="7605D2F9" w14:textId="77777777" w:rsidR="00893598" w:rsidRPr="00782933" w:rsidRDefault="00893598" w:rsidP="00893598">
      <w:pPr>
        <w:spacing w:before="0" w:after="0"/>
        <w:rPr>
          <w:rFonts w:ascii="Arial" w:hAnsi="Arial" w:cs="Arial"/>
        </w:rPr>
      </w:pPr>
      <w:r w:rsidRPr="00782933">
        <w:rPr>
          <w:rFonts w:ascii="Arial" w:hAnsi="Arial" w:cs="Arial"/>
          <w:noProof/>
        </w:rPr>
        <w:drawing>
          <wp:anchor distT="0" distB="0" distL="114300" distR="114300" simplePos="0" relativeHeight="251659264" behindDoc="0" locked="0" layoutInCell="1" allowOverlap="1" wp14:anchorId="7605D325" wp14:editId="7605D326">
            <wp:simplePos x="0" y="0"/>
            <wp:positionH relativeFrom="column">
              <wp:posOffset>0</wp:posOffset>
            </wp:positionH>
            <wp:positionV relativeFrom="paragraph">
              <wp:posOffset>-635</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7"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14:paraId="7605D2FA" w14:textId="77777777" w:rsidR="00893598" w:rsidRPr="00782933" w:rsidRDefault="00893598" w:rsidP="00893598">
      <w:pPr>
        <w:spacing w:before="0" w:after="0"/>
        <w:rPr>
          <w:rFonts w:ascii="Arial" w:hAnsi="Arial" w:cs="Arial"/>
        </w:rPr>
      </w:pPr>
    </w:p>
    <w:p w14:paraId="7605D2FB" w14:textId="77777777" w:rsidR="00893598" w:rsidRPr="00782933" w:rsidRDefault="00893598" w:rsidP="00893598">
      <w:pPr>
        <w:spacing w:before="0" w:after="0"/>
        <w:rPr>
          <w:rFonts w:ascii="Arial" w:hAnsi="Arial" w:cs="Arial"/>
        </w:rPr>
      </w:pPr>
    </w:p>
    <w:p w14:paraId="7605D2FC" w14:textId="77777777" w:rsidR="00893598" w:rsidRPr="00782933" w:rsidRDefault="00893598" w:rsidP="00893598">
      <w:pPr>
        <w:spacing w:before="0" w:after="0"/>
        <w:rPr>
          <w:rFonts w:ascii="Arial" w:hAnsi="Arial" w:cs="Arial"/>
        </w:rPr>
      </w:pPr>
    </w:p>
    <w:p w14:paraId="7605D2FD" w14:textId="77777777" w:rsidR="00893598" w:rsidRPr="00782933" w:rsidRDefault="00893598" w:rsidP="00893598">
      <w:pPr>
        <w:spacing w:before="0" w:after="0"/>
        <w:rPr>
          <w:rFonts w:ascii="Arial" w:hAnsi="Arial" w:cs="Arial"/>
        </w:rPr>
      </w:pPr>
    </w:p>
    <w:p w14:paraId="7605D2FE" w14:textId="77777777" w:rsidR="00893598" w:rsidRPr="00782933" w:rsidRDefault="00893598" w:rsidP="00893598">
      <w:pPr>
        <w:spacing w:before="0" w:after="0"/>
        <w:rPr>
          <w:rFonts w:ascii="Arial" w:hAnsi="Arial" w:cs="Arial"/>
        </w:rPr>
      </w:pPr>
    </w:p>
    <w:p w14:paraId="7605D2FF" w14:textId="77777777" w:rsidR="00893598" w:rsidRPr="00782933" w:rsidRDefault="00893598" w:rsidP="00893598">
      <w:pPr>
        <w:spacing w:before="0" w:after="0"/>
        <w:rPr>
          <w:rFonts w:ascii="Arial" w:hAnsi="Arial" w:cs="Arial"/>
        </w:rPr>
      </w:pPr>
    </w:p>
    <w:p w14:paraId="7605D300" w14:textId="77777777" w:rsidR="00893598" w:rsidRPr="00A81B99" w:rsidRDefault="00893598" w:rsidP="00893598">
      <w:pPr>
        <w:spacing w:before="0" w:after="0"/>
      </w:pPr>
      <w:r w:rsidRPr="00A81B99">
        <w:t xml:space="preserve">To:  </w:t>
      </w:r>
      <w:r w:rsidRPr="00A81B99">
        <w:tab/>
      </w:r>
      <w:r w:rsidRPr="00A81B99">
        <w:tab/>
        <w:t>Adult Education Consortium Providers</w:t>
      </w:r>
    </w:p>
    <w:p w14:paraId="7605D301" w14:textId="77777777" w:rsidR="00893598" w:rsidRPr="00A81B99" w:rsidRDefault="00893598" w:rsidP="00893598">
      <w:pPr>
        <w:spacing w:before="0" w:after="0"/>
        <w:ind w:firstLine="720"/>
      </w:pPr>
      <w:r w:rsidRPr="00A81B99">
        <w:tab/>
      </w:r>
      <w:r w:rsidRPr="00A81B99">
        <w:tab/>
      </w:r>
      <w:r w:rsidRPr="00A81B99">
        <w:tab/>
      </w:r>
      <w:r w:rsidRPr="00A81B99">
        <w:tab/>
      </w:r>
      <w:r w:rsidRPr="00A81B99">
        <w:tab/>
      </w:r>
    </w:p>
    <w:p w14:paraId="7605D302" w14:textId="7534AF75" w:rsidR="00893598" w:rsidRPr="00A81B99" w:rsidRDefault="00893598" w:rsidP="00893598">
      <w:pPr>
        <w:pStyle w:val="Heading1"/>
      </w:pPr>
      <w:r w:rsidRPr="00A81B99">
        <w:rPr>
          <w:i w:val="0"/>
        </w:rPr>
        <w:t>From:</w:t>
      </w:r>
      <w:r w:rsidRPr="00A81B99">
        <w:tab/>
      </w:r>
      <w:r w:rsidRPr="00A81B99">
        <w:tab/>
      </w:r>
      <w:r w:rsidR="00C46F04">
        <w:rPr>
          <w:i w:val="0"/>
        </w:rPr>
        <w:t>Gulf Coast Workforce Board</w:t>
      </w:r>
    </w:p>
    <w:p w14:paraId="7605D304" w14:textId="77777777" w:rsidR="00893598" w:rsidRPr="00A81B99" w:rsidRDefault="00893598" w:rsidP="00893598">
      <w:pPr>
        <w:spacing w:before="0" w:after="0"/>
      </w:pPr>
    </w:p>
    <w:p w14:paraId="7605D305" w14:textId="77777777" w:rsidR="00893598" w:rsidRPr="00A81B99" w:rsidRDefault="00893598" w:rsidP="00893598">
      <w:pPr>
        <w:pStyle w:val="Heading7"/>
        <w:pBdr>
          <w:bottom w:val="single" w:sz="4" w:space="4" w:color="auto"/>
        </w:pBdr>
        <w:tabs>
          <w:tab w:val="left" w:pos="1440"/>
        </w:tabs>
        <w:ind w:left="1440" w:hanging="1440"/>
        <w:rPr>
          <w:szCs w:val="24"/>
        </w:rPr>
      </w:pPr>
      <w:r w:rsidRPr="00A81B99">
        <w:t>Subject:</w:t>
      </w:r>
      <w:r w:rsidRPr="00A81B99">
        <w:tab/>
      </w:r>
      <w:r w:rsidR="001F2DEF" w:rsidRPr="00A81B99">
        <w:t>Allowable Advertising and Public Relations Expenditures</w:t>
      </w:r>
    </w:p>
    <w:p w14:paraId="7605D306" w14:textId="77777777" w:rsidR="00893598" w:rsidRPr="00A81B99" w:rsidRDefault="00893598" w:rsidP="00893598">
      <w:pPr>
        <w:spacing w:before="0" w:after="0"/>
      </w:pPr>
    </w:p>
    <w:p w14:paraId="7605D307" w14:textId="77777777" w:rsidR="00177471" w:rsidRPr="00A81B99" w:rsidRDefault="00177471" w:rsidP="00177471">
      <w:pPr>
        <w:pStyle w:val="Heading5"/>
        <w:spacing w:before="0" w:after="0"/>
        <w:contextualSpacing/>
        <w:rPr>
          <w:b w:val="0"/>
          <w:i w:val="0"/>
          <w:sz w:val="36"/>
          <w:szCs w:val="36"/>
        </w:rPr>
      </w:pPr>
      <w:r w:rsidRPr="00A81B99">
        <w:rPr>
          <w:b w:val="0"/>
          <w:i w:val="0"/>
          <w:sz w:val="36"/>
          <w:szCs w:val="36"/>
        </w:rPr>
        <w:t>Purpose</w:t>
      </w:r>
    </w:p>
    <w:p w14:paraId="7605D308" w14:textId="77777777" w:rsidR="00893598" w:rsidRPr="00A81B99" w:rsidRDefault="001F2DEF" w:rsidP="00177471">
      <w:pPr>
        <w:pStyle w:val="Heading5"/>
        <w:spacing w:before="0" w:after="0"/>
        <w:contextualSpacing/>
        <w:rPr>
          <w:b w:val="0"/>
          <w:i w:val="0"/>
          <w:sz w:val="32"/>
          <w:szCs w:val="36"/>
        </w:rPr>
      </w:pPr>
      <w:r w:rsidRPr="00A81B99">
        <w:rPr>
          <w:b w:val="0"/>
          <w:i w:val="0"/>
          <w:sz w:val="24"/>
        </w:rPr>
        <w:t>To provide Adult Education and Literacy (AEL) fiscal agents and AEL consortium providers with information and guidance on allowable advertising and public relations expenditures.</w:t>
      </w:r>
    </w:p>
    <w:p w14:paraId="7605D309" w14:textId="77777777" w:rsidR="00893598" w:rsidRPr="00A81B99" w:rsidRDefault="00893598" w:rsidP="00893598">
      <w:pPr>
        <w:spacing w:before="0" w:after="0"/>
        <w:rPr>
          <w:sz w:val="22"/>
        </w:rPr>
      </w:pPr>
    </w:p>
    <w:p w14:paraId="7605D30A" w14:textId="77777777" w:rsidR="00177471" w:rsidRPr="00A81B99" w:rsidRDefault="00177471" w:rsidP="00893598">
      <w:pPr>
        <w:spacing w:before="0" w:after="0"/>
        <w:rPr>
          <w:sz w:val="36"/>
          <w:szCs w:val="36"/>
        </w:rPr>
      </w:pPr>
      <w:r w:rsidRPr="00A81B99">
        <w:rPr>
          <w:sz w:val="36"/>
          <w:szCs w:val="36"/>
        </w:rPr>
        <w:t>Background</w:t>
      </w:r>
    </w:p>
    <w:p w14:paraId="7605D30B" w14:textId="77777777" w:rsidR="001F2DEF" w:rsidRPr="00A81B99" w:rsidRDefault="001F2DEF" w:rsidP="00893598">
      <w:pPr>
        <w:spacing w:before="0" w:after="0"/>
      </w:pPr>
      <w:r w:rsidRPr="00A81B99">
        <w:t>To reach new student populations and increase enrollment, AEL entities are seeking guidance on allowable expenditures relating to advertising and public relations.</w:t>
      </w:r>
    </w:p>
    <w:p w14:paraId="7605D30C" w14:textId="77777777" w:rsidR="001F2DEF" w:rsidRPr="00A81B99" w:rsidRDefault="001F2DEF" w:rsidP="00893598">
      <w:pPr>
        <w:spacing w:before="0" w:after="0"/>
      </w:pPr>
    </w:p>
    <w:p w14:paraId="7605D30D" w14:textId="77777777" w:rsidR="00141E07" w:rsidRPr="00A81B99" w:rsidRDefault="00A81B99" w:rsidP="00893598">
      <w:pPr>
        <w:spacing w:before="0" w:after="0"/>
        <w:rPr>
          <w:sz w:val="36"/>
          <w:szCs w:val="36"/>
        </w:rPr>
      </w:pPr>
      <w:r w:rsidRPr="00A81B99">
        <w:rPr>
          <w:sz w:val="36"/>
          <w:szCs w:val="36"/>
        </w:rPr>
        <w:t>Action</w:t>
      </w:r>
    </w:p>
    <w:p w14:paraId="7605D30E" w14:textId="77777777" w:rsidR="001F2DEF" w:rsidRPr="00A81B99" w:rsidRDefault="00ED7425" w:rsidP="00893598">
      <w:pPr>
        <w:spacing w:before="0" w:after="0"/>
      </w:pPr>
      <w:r w:rsidRPr="00A81B99">
        <w:t>AEL providers</w:t>
      </w:r>
      <w:r w:rsidR="001F2DEF" w:rsidRPr="00A81B99">
        <w:t xml:space="preserve"> must be aware that the only allowable advertising costs are those that are solely for: </w:t>
      </w:r>
    </w:p>
    <w:p w14:paraId="7605D30F" w14:textId="77777777" w:rsidR="001F2DEF" w:rsidRPr="00A81B99" w:rsidRDefault="001F2DEF" w:rsidP="00893598">
      <w:pPr>
        <w:spacing w:before="0" w:after="0"/>
      </w:pPr>
      <w:r w:rsidRPr="00A81B99">
        <w:t xml:space="preserve">• the recruitment of personnel required for the performance by the institution of obligations arising under a sponsored agreement; </w:t>
      </w:r>
    </w:p>
    <w:p w14:paraId="7605D310" w14:textId="77777777" w:rsidR="001F2DEF" w:rsidRPr="00A81B99" w:rsidRDefault="001F2DEF" w:rsidP="00893598">
      <w:pPr>
        <w:spacing w:before="0" w:after="0"/>
      </w:pPr>
      <w:r w:rsidRPr="00A81B99">
        <w:t xml:space="preserve">• the procurement of goods and services for the performance of a sponsored agreement; </w:t>
      </w:r>
    </w:p>
    <w:p w14:paraId="7605D311" w14:textId="77777777" w:rsidR="001F2DEF" w:rsidRPr="00A81B99" w:rsidRDefault="001F2DEF" w:rsidP="00893598">
      <w:pPr>
        <w:spacing w:before="0" w:after="0"/>
      </w:pPr>
      <w:r w:rsidRPr="00A81B99">
        <w:t xml:space="preserve">• the disposal of scrap or surplus materials acquired in the performance of a sponsored agreement except when nonfederal and/or state entities are reimbursed for disposal costs at a predetermined amount; or </w:t>
      </w:r>
    </w:p>
    <w:p w14:paraId="7605D312" w14:textId="77777777" w:rsidR="001F2DEF" w:rsidRPr="00A81B99" w:rsidRDefault="001F2DEF" w:rsidP="00893598">
      <w:pPr>
        <w:spacing w:before="0" w:after="0"/>
      </w:pPr>
      <w:r w:rsidRPr="00A81B99">
        <w:t>• other specific purposes necessary to meet the requirements of the sponsored agreement.</w:t>
      </w:r>
    </w:p>
    <w:p w14:paraId="7605D313" w14:textId="77777777" w:rsidR="001F2DEF" w:rsidRPr="00A81B99" w:rsidRDefault="001F2DEF" w:rsidP="00893598">
      <w:pPr>
        <w:spacing w:before="0" w:after="0"/>
      </w:pPr>
    </w:p>
    <w:p w14:paraId="7605D314" w14:textId="77777777" w:rsidR="00177471" w:rsidRPr="00A81B99" w:rsidRDefault="00ED7425" w:rsidP="00893598">
      <w:pPr>
        <w:spacing w:before="0" w:after="0"/>
      </w:pPr>
      <w:r w:rsidRPr="00A81B99">
        <w:t>AEL providers</w:t>
      </w:r>
      <w:r w:rsidR="001F2DEF" w:rsidRPr="00A81B99">
        <w:t xml:space="preserve"> must be aware that per Office of Management and Budget Circular A-21, “sponsored agreement” is defined as any grant, contract, or other agreement between the institution and the federal and/or state government. </w:t>
      </w:r>
    </w:p>
    <w:p w14:paraId="7605D315" w14:textId="77777777" w:rsidR="00177471" w:rsidRPr="00A81B99" w:rsidRDefault="00177471" w:rsidP="00893598">
      <w:pPr>
        <w:spacing w:before="0" w:after="0"/>
      </w:pPr>
    </w:p>
    <w:p w14:paraId="7605D316" w14:textId="77777777" w:rsidR="001F2DEF" w:rsidRPr="00A81B99" w:rsidRDefault="00ED7425" w:rsidP="00893598">
      <w:pPr>
        <w:spacing w:before="0" w:after="0"/>
      </w:pPr>
      <w:r w:rsidRPr="00A81B99">
        <w:t>AEL providers</w:t>
      </w:r>
      <w:r w:rsidR="001F2DEF" w:rsidRPr="00A81B99">
        <w:t xml:space="preserve"> must be aware that the only allowable public relations costs are: </w:t>
      </w:r>
    </w:p>
    <w:p w14:paraId="7605D317" w14:textId="77777777" w:rsidR="001F2DEF" w:rsidRPr="00A81B99" w:rsidRDefault="001F2DEF" w:rsidP="00893598">
      <w:pPr>
        <w:spacing w:before="0" w:after="0"/>
      </w:pPr>
      <w:r w:rsidRPr="00A81B99">
        <w:t>• specifically required by the sponsored agreement;</w:t>
      </w:r>
    </w:p>
    <w:p w14:paraId="7605D318" w14:textId="77777777" w:rsidR="001F2DEF" w:rsidRPr="00A81B99" w:rsidRDefault="001F2DEF" w:rsidP="00893598">
      <w:pPr>
        <w:spacing w:before="0" w:after="0"/>
      </w:pPr>
      <w:r w:rsidRPr="00A81B99">
        <w:t xml:space="preserve">• used to communicate with the public and press pertaining to specific activities or accomplishments that result from performance of sponsored agreements (these costs are considered necessary as part of the outreach effort for the sponsored agreement); or </w:t>
      </w:r>
    </w:p>
    <w:p w14:paraId="7605D319" w14:textId="77777777" w:rsidR="001F2DEF" w:rsidRPr="00A81B99" w:rsidRDefault="001F2DEF" w:rsidP="00893598">
      <w:pPr>
        <w:spacing w:before="0" w:after="0"/>
      </w:pPr>
      <w:r w:rsidRPr="00A81B99">
        <w:t xml:space="preserve">• used to conduct general liaison with news media and government public relations officers, to the extent that such activities are limited to communication and liaison necessary to keep the </w:t>
      </w:r>
      <w:r w:rsidRPr="00A81B99">
        <w:lastRenderedPageBreak/>
        <w:t xml:space="preserve">public informed on matters of public concern, such as notices of federal and/or state contract/grant awards, financial matters, etc. </w:t>
      </w:r>
    </w:p>
    <w:p w14:paraId="7605D31A" w14:textId="77777777" w:rsidR="001F2DEF" w:rsidRPr="00A81B99" w:rsidRDefault="001F2DEF" w:rsidP="00893598">
      <w:pPr>
        <w:spacing w:before="0" w:after="0"/>
      </w:pPr>
    </w:p>
    <w:p w14:paraId="7605D31B" w14:textId="77777777" w:rsidR="001F2DEF" w:rsidRPr="00A81B99" w:rsidRDefault="00ED7425" w:rsidP="00893598">
      <w:pPr>
        <w:spacing w:before="0" w:after="0"/>
      </w:pPr>
      <w:r w:rsidRPr="00A81B99">
        <w:t>Therefore, AEL providers</w:t>
      </w:r>
      <w:r w:rsidR="001F2DEF" w:rsidRPr="00A81B99">
        <w:t xml:space="preserve"> must be aware that: </w:t>
      </w:r>
    </w:p>
    <w:p w14:paraId="7605D31C" w14:textId="77777777" w:rsidR="001F2DEF" w:rsidRPr="00A81B99" w:rsidRDefault="001F2DEF" w:rsidP="00893598">
      <w:pPr>
        <w:spacing w:before="0" w:after="0"/>
      </w:pPr>
      <w:r w:rsidRPr="00A81B99">
        <w:t xml:space="preserve">• if the above advertising and public relations costs are incurred specifically for participant outreach for the grant program, the costs are allowable; and </w:t>
      </w:r>
    </w:p>
    <w:p w14:paraId="7605D31D" w14:textId="77777777" w:rsidR="001F2DEF" w:rsidRPr="00A81B99" w:rsidRDefault="001F2DEF" w:rsidP="00893598">
      <w:pPr>
        <w:spacing w:before="0" w:after="0"/>
      </w:pPr>
      <w:r w:rsidRPr="00A81B99">
        <w:t>• in accordance</w:t>
      </w:r>
      <w:r w:rsidR="00ED7425" w:rsidRPr="00A81B99">
        <w:t xml:space="preserve"> with WS</w:t>
      </w:r>
      <w:r w:rsidRPr="00A81B99">
        <w:t xml:space="preserve"> Letter 17-10, outreach and promotional materials that solely promote an organization are unallowable costs if the materials do not provide information that promotes program activities or goals. There must be no ambiguity on which service is being promoted.</w:t>
      </w:r>
    </w:p>
    <w:p w14:paraId="7605D31E" w14:textId="77777777" w:rsidR="00782933" w:rsidRPr="00A81B99" w:rsidRDefault="00782933" w:rsidP="00893598">
      <w:pPr>
        <w:spacing w:before="0" w:after="0"/>
      </w:pPr>
    </w:p>
    <w:p w14:paraId="7605D31F" w14:textId="77777777" w:rsidR="00782933" w:rsidRPr="00A81B99" w:rsidRDefault="00782933" w:rsidP="00893598">
      <w:pPr>
        <w:spacing w:before="0" w:after="0"/>
      </w:pPr>
      <w:r w:rsidRPr="00A81B99">
        <w:rPr>
          <w:i/>
        </w:rPr>
        <w:t>Note:</w:t>
      </w:r>
      <w:r w:rsidR="00A24CB1" w:rsidRPr="00A81B99">
        <w:t xml:space="preserve"> Please see WS</w:t>
      </w:r>
      <w:r w:rsidRPr="00A81B99">
        <w:t xml:space="preserve"> Letter 17-10 for further information.</w:t>
      </w:r>
    </w:p>
    <w:p w14:paraId="7605D320" w14:textId="77777777" w:rsidR="001F2DEF" w:rsidRPr="00A81B99" w:rsidRDefault="001F2DEF" w:rsidP="00893598">
      <w:pPr>
        <w:spacing w:before="0" w:after="0"/>
      </w:pPr>
    </w:p>
    <w:p w14:paraId="7605D321" w14:textId="77777777" w:rsidR="00A24CB1" w:rsidRPr="00A81B99" w:rsidRDefault="00A24CB1" w:rsidP="00A24CB1">
      <w:pPr>
        <w:spacing w:before="0" w:after="0"/>
        <w:rPr>
          <w:sz w:val="36"/>
          <w:szCs w:val="36"/>
        </w:rPr>
      </w:pPr>
      <w:r w:rsidRPr="00A81B99">
        <w:rPr>
          <w:sz w:val="36"/>
          <w:szCs w:val="36"/>
        </w:rPr>
        <w:t>Questions</w:t>
      </w:r>
      <w:r w:rsidRPr="00A81B99">
        <w:rPr>
          <w:sz w:val="36"/>
          <w:szCs w:val="36"/>
        </w:rPr>
        <w:tab/>
      </w:r>
    </w:p>
    <w:p w14:paraId="7605D322" w14:textId="77777777" w:rsidR="009378A4" w:rsidRPr="00AD29C2" w:rsidRDefault="009378A4" w:rsidP="009378A4">
      <w:pPr>
        <w:spacing w:before="0" w:after="0"/>
        <w:ind w:right="0"/>
      </w:pPr>
      <w:r w:rsidRPr="00AD29C2">
        <w:t xml:space="preserve">Staff should first ask questions of their managers or supervisors. Direct questions to the Gulf Coast Consortium Lead Agency Staff through the </w:t>
      </w:r>
      <w:hyperlink r:id="rId8" w:history="1">
        <w:r w:rsidRPr="00183626">
          <w:rPr>
            <w:rStyle w:val="Hyperlink"/>
          </w:rPr>
          <w:t>Submit a question</w:t>
        </w:r>
      </w:hyperlink>
      <w:r w:rsidRPr="00183626">
        <w:t xml:space="preserve"> </w:t>
      </w:r>
      <w:r w:rsidRPr="00BA47D6">
        <w:t>link.</w:t>
      </w:r>
    </w:p>
    <w:p w14:paraId="7605D323" w14:textId="77777777" w:rsidR="00782933" w:rsidRDefault="00782933"/>
    <w:p w14:paraId="7605D324" w14:textId="77777777" w:rsidR="00782933" w:rsidRDefault="00782933"/>
    <w:sectPr w:rsidR="00782933" w:rsidSect="00782933">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FD48" w14:textId="77777777" w:rsidR="00051C29" w:rsidRDefault="00051C29" w:rsidP="00782933">
      <w:pPr>
        <w:spacing w:before="0" w:after="0"/>
      </w:pPr>
      <w:r>
        <w:separator/>
      </w:r>
    </w:p>
  </w:endnote>
  <w:endnote w:type="continuationSeparator" w:id="0">
    <w:p w14:paraId="3F45B9C7" w14:textId="77777777" w:rsidR="00051C29" w:rsidRDefault="00051C29" w:rsidP="007829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D32E" w14:textId="77777777" w:rsidR="00BE6472" w:rsidRDefault="00BE6472" w:rsidP="00BE6472">
    <w:pPr>
      <w:tabs>
        <w:tab w:val="center" w:pos="4680"/>
        <w:tab w:val="right" w:pos="9360"/>
      </w:tabs>
      <w:spacing w:before="0" w:after="0"/>
      <w:jc w:val="right"/>
      <w:rPr>
        <w:noProof/>
      </w:rPr>
    </w:pPr>
    <w:r w:rsidRPr="00BE6472">
      <w:t>WS Allowable</w:t>
    </w:r>
    <w:r w:rsidRPr="00A81B99">
      <w:t xml:space="preserve"> Advertising and Public Relations Expenditures</w:t>
    </w:r>
    <w:r w:rsidRPr="00BE6472">
      <w:t xml:space="preserve"> —Page </w:t>
    </w:r>
    <w:r w:rsidRPr="00BE6472">
      <w:fldChar w:fldCharType="begin"/>
    </w:r>
    <w:r w:rsidRPr="00BE6472">
      <w:instrText xml:space="preserve"> PAGE   \* MERGEFORMAT </w:instrText>
    </w:r>
    <w:r w:rsidRPr="00BE6472">
      <w:fldChar w:fldCharType="separate"/>
    </w:r>
    <w:r w:rsidR="009378A4">
      <w:rPr>
        <w:noProof/>
      </w:rPr>
      <w:t>2</w:t>
    </w:r>
    <w:r w:rsidRPr="00BE6472">
      <w:rPr>
        <w:noProof/>
      </w:rPr>
      <w:fldChar w:fldCharType="end"/>
    </w:r>
  </w:p>
  <w:p w14:paraId="7605D32F" w14:textId="77777777" w:rsidR="00BE6472" w:rsidRPr="00BE6472" w:rsidRDefault="00BE6472" w:rsidP="00BE6472">
    <w:pPr>
      <w:tabs>
        <w:tab w:val="center" w:pos="4680"/>
        <w:tab w:val="right" w:pos="9360"/>
      </w:tabs>
      <w:spacing w:before="0" w:after="0"/>
      <w:jc w:val="right"/>
    </w:pPr>
    <w:r>
      <w:t>June 22, 2015</w:t>
    </w:r>
  </w:p>
  <w:p w14:paraId="7605D330" w14:textId="77777777" w:rsidR="00782933" w:rsidRPr="00BE6472" w:rsidRDefault="00782933" w:rsidP="00BE6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D331" w14:textId="77777777" w:rsidR="00BE6472" w:rsidRDefault="00BE6472" w:rsidP="00BE6472">
    <w:pPr>
      <w:tabs>
        <w:tab w:val="center" w:pos="4680"/>
        <w:tab w:val="right" w:pos="9360"/>
      </w:tabs>
      <w:spacing w:before="0" w:after="0"/>
      <w:jc w:val="right"/>
      <w:rPr>
        <w:noProof/>
      </w:rPr>
    </w:pPr>
    <w:r w:rsidRPr="00BE6472">
      <w:t>WS Allowable</w:t>
    </w:r>
    <w:r w:rsidRPr="00A81B99">
      <w:t xml:space="preserve"> Advertising and Public Relations Expenditures</w:t>
    </w:r>
    <w:r w:rsidRPr="00BE6472">
      <w:t xml:space="preserve"> —Page </w:t>
    </w:r>
    <w:r w:rsidRPr="00BE6472">
      <w:fldChar w:fldCharType="begin"/>
    </w:r>
    <w:r w:rsidRPr="00BE6472">
      <w:instrText xml:space="preserve"> PAGE   \* MERGEFORMAT </w:instrText>
    </w:r>
    <w:r w:rsidRPr="00BE6472">
      <w:fldChar w:fldCharType="separate"/>
    </w:r>
    <w:r w:rsidR="009378A4">
      <w:rPr>
        <w:noProof/>
      </w:rPr>
      <w:t>1</w:t>
    </w:r>
    <w:r w:rsidRPr="00BE6472">
      <w:rPr>
        <w:noProof/>
      </w:rPr>
      <w:fldChar w:fldCharType="end"/>
    </w:r>
  </w:p>
  <w:p w14:paraId="7605D332" w14:textId="77777777" w:rsidR="00782933" w:rsidRPr="00BE6472" w:rsidRDefault="00BE6472" w:rsidP="00BE6472">
    <w:pPr>
      <w:tabs>
        <w:tab w:val="center" w:pos="4680"/>
        <w:tab w:val="right" w:pos="9360"/>
      </w:tabs>
      <w:spacing w:before="0" w:after="0"/>
      <w:jc w:val="right"/>
    </w:pPr>
    <w:r>
      <w:t>June 22,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A193" w14:textId="77777777" w:rsidR="00051C29" w:rsidRDefault="00051C29" w:rsidP="00782933">
      <w:pPr>
        <w:spacing w:before="0" w:after="0"/>
      </w:pPr>
      <w:r>
        <w:separator/>
      </w:r>
    </w:p>
  </w:footnote>
  <w:footnote w:type="continuationSeparator" w:id="0">
    <w:p w14:paraId="0F01ED14" w14:textId="77777777" w:rsidR="00051C29" w:rsidRDefault="00051C29" w:rsidP="007829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D32B" w14:textId="77777777" w:rsidR="00BE6472" w:rsidRDefault="00BE6472" w:rsidP="00BE6472">
    <w:pPr>
      <w:tabs>
        <w:tab w:val="center" w:pos="4680"/>
        <w:tab w:val="right" w:pos="9360"/>
      </w:tabs>
      <w:spacing w:before="0" w:after="0"/>
      <w:jc w:val="right"/>
      <w:rPr>
        <w:noProof/>
      </w:rPr>
    </w:pPr>
    <w:r w:rsidRPr="00BE6472">
      <w:t>WS Allowable</w:t>
    </w:r>
    <w:r w:rsidRPr="00A81B99">
      <w:t xml:space="preserve"> Advertising and Public Relations Expenditures</w:t>
    </w:r>
    <w:r w:rsidRPr="00BE6472">
      <w:t xml:space="preserve"> —Page </w:t>
    </w:r>
    <w:r w:rsidRPr="00BE6472">
      <w:fldChar w:fldCharType="begin"/>
    </w:r>
    <w:r w:rsidRPr="00BE6472">
      <w:instrText xml:space="preserve"> PAGE   \* MERGEFORMAT </w:instrText>
    </w:r>
    <w:r w:rsidRPr="00BE6472">
      <w:fldChar w:fldCharType="separate"/>
    </w:r>
    <w:r w:rsidR="009378A4">
      <w:rPr>
        <w:noProof/>
      </w:rPr>
      <w:t>2</w:t>
    </w:r>
    <w:r w:rsidRPr="00BE6472">
      <w:rPr>
        <w:noProof/>
      </w:rPr>
      <w:fldChar w:fldCharType="end"/>
    </w:r>
  </w:p>
  <w:p w14:paraId="7605D32C" w14:textId="77777777" w:rsidR="00BE6472" w:rsidRPr="00BE6472" w:rsidRDefault="00BE6472" w:rsidP="00BE6472">
    <w:pPr>
      <w:tabs>
        <w:tab w:val="center" w:pos="4680"/>
        <w:tab w:val="right" w:pos="9360"/>
      </w:tabs>
      <w:spacing w:before="0" w:after="0"/>
      <w:jc w:val="right"/>
    </w:pPr>
    <w:r>
      <w:t>June 22, 2015</w:t>
    </w:r>
  </w:p>
  <w:p w14:paraId="7605D32D" w14:textId="77777777" w:rsidR="00BE6472" w:rsidRPr="00BE6472" w:rsidRDefault="00BE6472" w:rsidP="00BE6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98"/>
    <w:rsid w:val="00051C29"/>
    <w:rsid w:val="00141E07"/>
    <w:rsid w:val="00177471"/>
    <w:rsid w:val="0019587E"/>
    <w:rsid w:val="001F2DEF"/>
    <w:rsid w:val="003D3AA6"/>
    <w:rsid w:val="00506410"/>
    <w:rsid w:val="0068529F"/>
    <w:rsid w:val="00782933"/>
    <w:rsid w:val="00861C23"/>
    <w:rsid w:val="00893598"/>
    <w:rsid w:val="009378A4"/>
    <w:rsid w:val="00A24CB1"/>
    <w:rsid w:val="00A81B99"/>
    <w:rsid w:val="00BD2FA3"/>
    <w:rsid w:val="00BE6472"/>
    <w:rsid w:val="00C46F04"/>
    <w:rsid w:val="00D14917"/>
    <w:rsid w:val="00D22C47"/>
    <w:rsid w:val="00DD1A75"/>
    <w:rsid w:val="00ED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D2F0"/>
  <w15:chartTrackingRefBased/>
  <w15:docId w15:val="{B51B97EA-0040-4A11-9D03-0ABCF487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98"/>
    <w:pPr>
      <w:spacing w:before="240" w:after="240" w:line="240" w:lineRule="auto"/>
      <w:ind w:right="158"/>
    </w:pPr>
    <w:rPr>
      <w:rFonts w:ascii="Times New Roman" w:eastAsia="Calibri" w:hAnsi="Times New Roman" w:cs="Times New Roman"/>
      <w:sz w:val="24"/>
    </w:rPr>
  </w:style>
  <w:style w:type="paragraph" w:styleId="Heading1">
    <w:name w:val="heading 1"/>
    <w:basedOn w:val="Normal"/>
    <w:next w:val="Normal"/>
    <w:link w:val="Heading1Char"/>
    <w:qFormat/>
    <w:rsid w:val="00893598"/>
    <w:pPr>
      <w:keepNext/>
      <w:spacing w:before="0" w:after="0"/>
      <w:ind w:right="0"/>
      <w:outlineLvl w:val="0"/>
    </w:pPr>
    <w:rPr>
      <w:rFonts w:eastAsia="Times New Roman"/>
      <w:i/>
      <w:szCs w:val="20"/>
    </w:rPr>
  </w:style>
  <w:style w:type="paragraph" w:styleId="Heading5">
    <w:name w:val="heading 5"/>
    <w:basedOn w:val="Normal"/>
    <w:next w:val="Normal"/>
    <w:link w:val="Heading5Char"/>
    <w:qFormat/>
    <w:rsid w:val="00893598"/>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893598"/>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598"/>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893598"/>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89359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1E07"/>
    <w:rPr>
      <w:color w:val="0563C1" w:themeColor="hyperlink"/>
      <w:u w:val="single"/>
    </w:rPr>
  </w:style>
  <w:style w:type="paragraph" w:styleId="Header">
    <w:name w:val="header"/>
    <w:basedOn w:val="Normal"/>
    <w:link w:val="HeaderChar"/>
    <w:uiPriority w:val="99"/>
    <w:unhideWhenUsed/>
    <w:rsid w:val="00782933"/>
    <w:pPr>
      <w:tabs>
        <w:tab w:val="center" w:pos="4680"/>
        <w:tab w:val="right" w:pos="9360"/>
      </w:tabs>
      <w:spacing w:before="0" w:after="0"/>
    </w:pPr>
  </w:style>
  <w:style w:type="character" w:customStyle="1" w:styleId="HeaderChar">
    <w:name w:val="Header Char"/>
    <w:basedOn w:val="DefaultParagraphFont"/>
    <w:link w:val="Header"/>
    <w:uiPriority w:val="99"/>
    <w:rsid w:val="00782933"/>
    <w:rPr>
      <w:rFonts w:ascii="Times New Roman" w:eastAsia="Calibri" w:hAnsi="Times New Roman" w:cs="Times New Roman"/>
      <w:sz w:val="24"/>
    </w:rPr>
  </w:style>
  <w:style w:type="paragraph" w:styleId="Footer">
    <w:name w:val="footer"/>
    <w:basedOn w:val="Normal"/>
    <w:link w:val="FooterChar"/>
    <w:uiPriority w:val="99"/>
    <w:unhideWhenUsed/>
    <w:rsid w:val="00782933"/>
    <w:pPr>
      <w:tabs>
        <w:tab w:val="center" w:pos="4680"/>
        <w:tab w:val="right" w:pos="9360"/>
      </w:tabs>
      <w:spacing w:before="0" w:after="0"/>
    </w:pPr>
  </w:style>
  <w:style w:type="character" w:customStyle="1" w:styleId="FooterChar">
    <w:name w:val="Footer Char"/>
    <w:basedOn w:val="DefaultParagraphFont"/>
    <w:link w:val="Footer"/>
    <w:uiPriority w:val="99"/>
    <w:rsid w:val="00782933"/>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937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6aeltechnicalassistance@esc6.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F67A-EC6E-4D9F-AD4C-45DEA96D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15-01-Allowable Advertising and Public Relations Expenditures</dc:title>
  <dc:subject/>
  <dc:creator>Kelly Carnline</dc:creator>
  <cp:keywords>15-01-Allowable Advertising and Public Relations Expenditures</cp:keywords>
  <dc:description/>
  <cp:lastModifiedBy>Nguyen, Dat</cp:lastModifiedBy>
  <cp:revision>6</cp:revision>
  <dcterms:created xsi:type="dcterms:W3CDTF">2020-06-30T15:07:00Z</dcterms:created>
  <dcterms:modified xsi:type="dcterms:W3CDTF">2020-09-02T23:24:00Z</dcterms:modified>
</cp:coreProperties>
</file>